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2F" w:rsidRDefault="00883C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>History Long Term Plan</w:t>
      </w:r>
    </w:p>
    <w:tbl>
      <w:tblPr>
        <w:tblStyle w:val="a3"/>
        <w:tblW w:w="22079" w:type="dxa"/>
        <w:tblLayout w:type="fixed"/>
        <w:tblLook w:val="0400" w:firstRow="0" w:lastRow="0" w:firstColumn="0" w:lastColumn="0" w:noHBand="0" w:noVBand="1"/>
      </w:tblPr>
      <w:tblGrid>
        <w:gridCol w:w="2454"/>
        <w:gridCol w:w="2454"/>
        <w:gridCol w:w="2453"/>
        <w:gridCol w:w="2453"/>
        <w:gridCol w:w="2453"/>
        <w:gridCol w:w="2453"/>
        <w:gridCol w:w="2453"/>
        <w:gridCol w:w="2453"/>
        <w:gridCol w:w="2453"/>
      </w:tblGrid>
      <w:tr w:rsidR="00500E2F">
        <w:trPr>
          <w:trHeight w:val="84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Year Group</w:t>
            </w:r>
            <w:r>
              <w:rPr>
                <w:color w:val="000000"/>
              </w:rPr>
              <w:br/>
              <w:t>Term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Nursery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Reception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Year 1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Year 2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Year 3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Year 4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Year 5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Year 6</w:t>
            </w:r>
          </w:p>
        </w:tc>
      </w:tr>
      <w:tr w:rsidR="00500E2F">
        <w:trPr>
          <w:trHeight w:val="222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_GoBack"/>
            <w:r>
              <w:rPr>
                <w:color w:val="000000"/>
              </w:rPr>
              <w:t>Autumn 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color w:val="0070C0"/>
              </w:rPr>
              <w:t xml:space="preserve">Talk about self and family, personal history- </w:t>
            </w:r>
            <w:r>
              <w:rPr>
                <w:b/>
                <w:color w:val="0070C0"/>
              </w:rPr>
              <w:t xml:space="preserve">topic </w:t>
            </w:r>
            <w:proofErr w:type="gramStart"/>
            <w:r>
              <w:rPr>
                <w:b/>
                <w:color w:val="0070C0"/>
              </w:rPr>
              <w:t>It’s</w:t>
            </w:r>
            <w:proofErr w:type="gramEnd"/>
            <w:r>
              <w:rPr>
                <w:b/>
                <w:color w:val="0070C0"/>
              </w:rPr>
              <w:t xml:space="preserve"> Good To Be Me!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Comment on images of familiar situations in the past -</w:t>
            </w:r>
            <w:r>
              <w:rPr>
                <w:b/>
                <w:color w:val="0070C0"/>
              </w:rPr>
              <w:t xml:space="preserve"> school past and present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bookmarkStart w:id="2" w:name="_heading=h.gjdgxs" w:colFirst="0" w:colLast="0"/>
            <w:bookmarkEnd w:id="2"/>
            <w:r>
              <w:rPr>
                <w:color w:val="0070C0"/>
              </w:rPr>
              <w:t>Toys from the past - changes within living memory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Ancient Egyptians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Stone Age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Bronze Age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</w:tr>
      <w:bookmarkEnd w:id="1"/>
      <w:tr w:rsidR="00500E2F">
        <w:trPr>
          <w:trHeight w:val="222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Autumn 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color w:val="0070C0"/>
              </w:rPr>
              <w:t xml:space="preserve">Have an awareness of  ‘in the past’-  </w:t>
            </w:r>
            <w:r>
              <w:rPr>
                <w:b/>
                <w:color w:val="0070C0"/>
              </w:rPr>
              <w:t>Remembrance Day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Comment on images of familiar situations in the past - focussing on how celebrations have changed in living memory - </w:t>
            </w:r>
            <w:r>
              <w:rPr>
                <w:b/>
                <w:color w:val="0070C0"/>
              </w:rPr>
              <w:t>was our Grandparent’s Christmas just like ours?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Great Fire of London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Crime and Punishment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Iron Age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Battle of Britain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</w:tr>
      <w:tr w:rsidR="00500E2F">
        <w:trPr>
          <w:trHeight w:val="222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color w:val="0070C0"/>
              </w:rPr>
              <w:t xml:space="preserve">Talk about the lives of people around them- </w:t>
            </w:r>
            <w:r>
              <w:rPr>
                <w:b/>
                <w:color w:val="0070C0"/>
              </w:rPr>
              <w:t>occasions to discuss: Chinese New Year, Pancake Day, Mother’s Day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Compare and contrast characters from stories, </w:t>
            </w:r>
            <w:r>
              <w:rPr>
                <w:b/>
                <w:color w:val="0070C0"/>
              </w:rPr>
              <w:t>traditional tales compare versions from the past 50 years. Stories in the woods.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Florence Nightinga</w:t>
            </w:r>
            <w:r>
              <w:rPr>
                <w:color w:val="0070C0"/>
              </w:rPr>
              <w:t xml:space="preserve">le v Mary </w:t>
            </w:r>
            <w:proofErr w:type="spellStart"/>
            <w:r>
              <w:rPr>
                <w:color w:val="0070C0"/>
              </w:rPr>
              <w:t>Seacole</w:t>
            </w:r>
            <w:proofErr w:type="spellEnd"/>
            <w:r>
              <w:rPr>
                <w:color w:val="0070C0"/>
              </w:rPr>
              <w:t xml:space="preserve"> </w:t>
            </w:r>
          </w:p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v Edith Cavell v current day nurses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Benin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Romans</w:t>
            </w:r>
          </w:p>
        </w:tc>
      </w:tr>
      <w:tr w:rsidR="00500E2F">
        <w:trPr>
          <w:trHeight w:val="222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Begin to make sense of own life-story and family history- </w:t>
            </w:r>
          </w:p>
          <w:p w:rsidR="00500E2F" w:rsidRDefault="00883C10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topic- Animals and their young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Talk about differences between lives of </w:t>
            </w:r>
            <w:proofErr w:type="gramStart"/>
            <w:r>
              <w:rPr>
                <w:color w:val="0070C0"/>
              </w:rPr>
              <w:t>people  in</w:t>
            </w:r>
            <w:proofErr w:type="gramEnd"/>
            <w:r>
              <w:rPr>
                <w:color w:val="0070C0"/>
              </w:rPr>
              <w:t xml:space="preserve"> the past and those in the present day, based on stories shared in class, and life experiences. </w:t>
            </w:r>
            <w:r>
              <w:rPr>
                <w:b/>
                <w:color w:val="0070C0"/>
              </w:rPr>
              <w:t>Life on a farm past and present.</w:t>
            </w:r>
          </w:p>
        </w:tc>
        <w:tc>
          <w:tcPr>
            <w:tcW w:w="245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The History of Bridlington (maritime/fishing)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</w:tr>
      <w:tr w:rsidR="00500E2F">
        <w:trPr>
          <w:trHeight w:val="222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Summer 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Understand the past through events-</w:t>
            </w:r>
          </w:p>
          <w:p w:rsidR="00500E2F" w:rsidRDefault="00883C10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my beanstalk diary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88" w:lineRule="auto"/>
              <w:rPr>
                <w:b/>
                <w:color w:val="0070C0"/>
              </w:rPr>
            </w:pPr>
            <w:r>
              <w:rPr>
                <w:color w:val="0070C0"/>
              </w:rPr>
              <w:t xml:space="preserve">Compare and contrast characters from stories, </w:t>
            </w:r>
            <w:r>
              <w:rPr>
                <w:b/>
                <w:color w:val="0070C0"/>
              </w:rPr>
              <w:t>including figures from the past - Roald Dahl</w:t>
            </w:r>
          </w:p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b/>
                <w:color w:val="0070C0"/>
              </w:rPr>
              <w:t>Paddington - how he has changed.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Grace Darling/William Hillary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Anglo-Saxons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Mayans</w:t>
            </w:r>
          </w:p>
        </w:tc>
      </w:tr>
      <w:tr w:rsidR="00500E2F">
        <w:trPr>
          <w:trHeight w:val="222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Summer 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Talk about the people around them and roles in society-</w:t>
            </w:r>
          </w:p>
          <w:p w:rsidR="00500E2F" w:rsidRDefault="00883C10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RNLI visit linked to our topic - The Sea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Discuss roles of important people in their </w:t>
            </w:r>
            <w:proofErr w:type="spellStart"/>
            <w:r>
              <w:rPr>
                <w:color w:val="0070C0"/>
              </w:rPr>
              <w:t>lives</w:t>
            </w:r>
            <w:proofErr w:type="gramStart"/>
            <w:r>
              <w:rPr>
                <w:color w:val="0070C0"/>
              </w:rPr>
              <w:t>,in</w:t>
            </w:r>
            <w:proofErr w:type="spellEnd"/>
            <w:proofErr w:type="gramEnd"/>
            <w:r>
              <w:rPr>
                <w:color w:val="0070C0"/>
              </w:rPr>
              <w:t xml:space="preserve"> our community and in the wider world.</w:t>
            </w:r>
            <w:r>
              <w:rPr>
                <w:b/>
                <w:color w:val="0070C0"/>
              </w:rPr>
              <w:t xml:space="preserve"> RNLI how has it changed?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Amy Johnson – local famous study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Local Hi</w:t>
            </w:r>
            <w:r>
              <w:rPr>
                <w:color w:val="0070C0"/>
              </w:rPr>
              <w:t>story Study</w:t>
            </w:r>
          </w:p>
          <w:p w:rsidR="00500E2F" w:rsidRDefault="00883C10">
            <w:pPr>
              <w:spacing w:after="0" w:line="240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Sewerby</w:t>
            </w:r>
            <w:proofErr w:type="spellEnd"/>
            <w:r>
              <w:rPr>
                <w:color w:val="0070C0"/>
              </w:rPr>
              <w:t xml:space="preserve"> Hall</w:t>
            </w:r>
          </w:p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Vikings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883C1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Ancient Greeks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2F" w:rsidRDefault="00500E2F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500E2F" w:rsidRDefault="00500E2F"/>
    <w:p w:rsidR="00500E2F" w:rsidRDefault="00500E2F"/>
    <w:sectPr w:rsidR="00500E2F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2F"/>
    <w:rsid w:val="00500E2F"/>
    <w:rsid w:val="008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CB020-B7B7-4DF9-82B8-B4B8ED1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bmFRI14TTGd/tSnf+V2RP945JQ==">AMUW2mXrJJF1j6VA3zBrv8b/cgsk+l5zRmuyt3NPuXY0bGIpStwKrz8ydNXJCiHy+Ahs/3dlpe3C6hnXwTHtl6WHNyOp/PD/ZxDdsORW1wsiFQFSE3gCkFTYaVlTliYpudCxuYxuXDRi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Wood</dc:creator>
  <cp:lastModifiedBy>T Nicholson</cp:lastModifiedBy>
  <cp:revision>2</cp:revision>
  <dcterms:created xsi:type="dcterms:W3CDTF">2023-02-01T16:32:00Z</dcterms:created>
  <dcterms:modified xsi:type="dcterms:W3CDTF">2023-02-01T16:32:00Z</dcterms:modified>
</cp:coreProperties>
</file>